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4B8" w:rsidRPr="007114B8" w:rsidRDefault="007114B8" w:rsidP="007114B8">
      <w:pPr>
        <w:keepNext/>
        <w:spacing w:before="240" w:after="120" w:line="240" w:lineRule="auto"/>
        <w:jc w:val="center"/>
        <w:outlineLvl w:val="2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Расчёт вентиляции  для вентиляторов типа 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val="en-US" w:eastAsia="ru-RU"/>
        </w:rPr>
        <w:t>AVH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160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val="en-US" w:eastAsia="ru-RU"/>
        </w:rPr>
        <w:t> 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200.4.10на 2014 год</w:t>
      </w:r>
    </w:p>
    <w:p w:rsidR="007114B8" w:rsidRPr="007114B8" w:rsidRDefault="007114B8" w:rsidP="007114B8">
      <w:pPr>
        <w:keepNext/>
        <w:spacing w:before="240" w:after="120" w:line="240" w:lineRule="auto"/>
        <w:jc w:val="center"/>
        <w:outlineLvl w:val="2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Расчёт расхода воздуха для проветривания выработок производится из принципа от частного к общему (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позабойный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метод): рассчитывается количество воздуха для отдельных забоев, камер, подготовительных выработок с последующим его суммированием по руднику в целом с учётом утечек, неравномерности распределения и резерва.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технологией горных работ и природными особенностями подземного рудника на основании «Единых правил безопасности при разработке рудных, нерудных и россыпных месторождений полезных ископаемых подземным способом» расход воздуха для проветривания выработок рассчитывается по следующим факторам: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отработавшим газам двигателей внутреннего сгорания (ДВС);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минимально допустимой скорости движения воздушной струи;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наибольшему числу людей, занятых в одновременной работе;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токсичным газам, образующимся при ведении взрывных работ;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пыли.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связи с отсутствием естественного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газовыделения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(в том числе и углекислого газа) расчёт по этому фактору не производится.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К учёту принимается наибольшее количество воздуха, полученное при расчёте по вышеуказанным факторам.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keepNext/>
        <w:spacing w:before="240" w:after="120" w:line="240" w:lineRule="auto"/>
        <w:jc w:val="both"/>
        <w:outlineLvl w:val="2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</w:pPr>
      <w:bookmarkStart w:id="0" w:name="_Toc279133765"/>
      <w:r w:rsidRPr="007114B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  <w:tab/>
        <w:t>Вентиляция подземного рудника</w:t>
      </w:r>
      <w:bookmarkEnd w:id="0"/>
    </w:p>
    <w:p w:rsidR="007114B8" w:rsidRPr="007114B8" w:rsidRDefault="007114B8" w:rsidP="007114B8">
      <w:pPr>
        <w:keepNext/>
        <w:spacing w:before="240" w:after="120" w:line="240" w:lineRule="auto"/>
        <w:jc w:val="both"/>
        <w:outlineLvl w:val="2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Для расчётов использовалась «Методика организации проветривания и расчёта (расхода) воздуха, необходимого для проветривания подземного рудника ГОК «Лунное» ЗАО «Серебро Магадана», прошедшая экспертизу промышленной безопасности в экспертном центре ЗАО «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Геоэксперт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» г. Москва. Методика получила положительное заключение и согласована в Управлении государственного горного и металлургического надзора исх.№13-13/3094 от 27.10.2008 г.</w:t>
      </w:r>
    </w:p>
    <w:p w:rsidR="007114B8" w:rsidRPr="007114B8" w:rsidRDefault="007114B8" w:rsidP="007114B8">
      <w:pPr>
        <w:keepNext/>
        <w:spacing w:before="240" w:after="12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Расчёт количества (расхода) воздуха, необходимого </w:t>
      </w:r>
      <w:proofErr w:type="gramStart"/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для</w:t>
      </w:r>
      <w:proofErr w:type="gramEnd"/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проветривания рудника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Расчёт схемы проветривания рудника выполнен на достижение рудником запланированной годовой производительности    232,6тыс. т  руды.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Исходные данные для расчёта расхода воздуха</w:t>
      </w:r>
    </w:p>
    <w:p w:rsidR="007114B8" w:rsidRPr="007114B8" w:rsidRDefault="007114B8" w:rsidP="007114B8">
      <w:pPr>
        <w:spacing w:before="120" w:after="0" w:line="240" w:lineRule="auto"/>
        <w:ind w:firstLine="70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Расчёт схемы проветривания рудника выполнен на отработку промышленных запасов рудной зоны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IX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нагор.750-600 м.</w:t>
      </w:r>
    </w:p>
    <w:p w:rsidR="007114B8" w:rsidRPr="007114B8" w:rsidRDefault="007114B8" w:rsidP="007114B8">
      <w:pPr>
        <w:spacing w:before="120" w:after="0" w:line="240" w:lineRule="auto"/>
        <w:ind w:left="6381" w:hanging="81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Таблица 3.2.3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"/>
        <w:gridCol w:w="7203"/>
        <w:gridCol w:w="1617"/>
      </w:tblGrid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№№ </w:t>
            </w:r>
            <w:proofErr w:type="gramStart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327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очистных камер в одновременной работе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тупиковых забоев в одновременной работе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самоходного оборудования в постоянной работе:</w:t>
            </w:r>
          </w:p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гор. +630м – одна ПДМ 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ST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-1030 и </w:t>
            </w:r>
            <w:proofErr w:type="gramStart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один</w:t>
            </w:r>
            <w:proofErr w:type="gramEnd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а/самосвал МТ-2000</w:t>
            </w:r>
          </w:p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гор. +600м – одна ПДМ 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ST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-1030 и </w:t>
            </w:r>
            <w:proofErr w:type="gramStart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один</w:t>
            </w:r>
            <w:proofErr w:type="gramEnd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а/самосвал 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EJC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-522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Максимальное количество людей, одновременно занятых в работе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</w:tbl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  <w:t xml:space="preserve">Расчёт расхода воздуха по отработавшим газам двигателей 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  <w:t>внутреннего сгорания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На руднике применяются самоходные дизельные машины для доставки и транспортировки горной массы ПДМ ST-1030 с мощностью двигателя 250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л.с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 (187кВт) и автосамосвалы МТ-2000 (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EJC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-522) с мощностью двигателя 300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л.с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 (224кВт).</w:t>
      </w:r>
    </w:p>
    <w:p w:rsidR="007114B8" w:rsidRPr="007114B8" w:rsidRDefault="007114B8" w:rsidP="007114B8">
      <w:pPr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Расход воздуха для проветривания выработки по фактору отработавших газов (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 рассчитывается по формуле: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K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* N * Н/60= 0,0167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*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* N * H,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spacing w:before="6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коэффициент  одновременности работы машин;</w:t>
      </w:r>
    </w:p>
    <w:p w:rsidR="007114B8" w:rsidRPr="007114B8" w:rsidRDefault="007114B8" w:rsidP="007114B8">
      <w:pPr>
        <w:spacing w:before="60"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N – номинальная  мощность ДВС машин, работающих в выработке,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л.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spellEnd"/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.;</w:t>
      </w:r>
    </w:p>
    <w:p w:rsidR="007114B8" w:rsidRPr="007114B8" w:rsidRDefault="007114B8" w:rsidP="007114B8">
      <w:pPr>
        <w:spacing w:before="60" w:after="0" w:line="240" w:lineRule="auto"/>
        <w:ind w:left="70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 – удельная норма расхода воздуха на проветривание выработки при работе машин с ДВС,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/мин. на 1л.с. (Н = 3,0м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/мин на 1л.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.).</w:t>
      </w:r>
    </w:p>
    <w:p w:rsidR="007114B8" w:rsidRPr="007114B8" w:rsidRDefault="007114B8" w:rsidP="007114B8">
      <w:pPr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ПДМ 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ST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-1030 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3,0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sym w:font="Times New Roman" w:char="2022"/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250 / 60 = 12,5 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Для автосамосвала МТ-2010 (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EJC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-522)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3,0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sym w:font="Times New Roman" w:char="2022"/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300 / 60 = 15,0м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Общий расход воздуха по этому фактору при одновременной работе нескольких машин с ДВС составит: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(Q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+ 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/с,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где: 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коэффициент одновременности работы машин принимается равным: для одной машины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1, для двух 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0.9, для трёх и более 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0.85.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Общий расход воздуха по этому фактору при одновременной работе одной ПДМ ST-1030 и одного автосамосвала МТ-2000 составит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гор.+750м: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*(Q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+ 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 = 0.9*(12,5+15,0) = 24,75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Общий расход воздуха по этому фактору при одновременной работе одной ПДМ </w:t>
      </w:r>
      <w:r w:rsidRPr="007114B8">
        <w:rPr>
          <w:rFonts w:ascii="Times New Roman" w:eastAsia="Calibri" w:hAnsi="Times New Roman" w:cs="Times New Roman"/>
          <w:sz w:val="28"/>
          <w:szCs w:val="28"/>
          <w:lang w:val="en-US"/>
        </w:rPr>
        <w:t>ST</w:t>
      </w:r>
      <w:r w:rsidRPr="007114B8">
        <w:rPr>
          <w:rFonts w:ascii="Times New Roman" w:eastAsia="Calibri" w:hAnsi="Times New Roman" w:cs="Times New Roman"/>
          <w:sz w:val="28"/>
          <w:szCs w:val="28"/>
        </w:rPr>
        <w:t xml:space="preserve">-1030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одного автосамосвала 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EJC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-522 составит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гор.+600м: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*(Q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+ 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 = 0.9*(12,5+15,0) = 24,75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/с. </w:t>
      </w:r>
    </w:p>
    <w:p w:rsidR="007114B8" w:rsidRPr="007114B8" w:rsidRDefault="007114B8" w:rsidP="007114B8">
      <w:pPr>
        <w:spacing w:before="120"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целях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предотвращения накапливания продуктов выхлопа газов работающих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ДВС в тупиковых или сквозных (очистных) выработках расход воздуха по фактору нейтрализации ОГ ДВС, проверяется на вынос из выработки (забоя) выхлопных газов в течение цикла работы машины: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Times New Roman" w:hAnsi="Times New Roman" w:cs="Times New Roman"/>
          <w:color w:val="FF0000"/>
          <w:position w:val="-14"/>
          <w:sz w:val="28"/>
          <w:szCs w:val="28"/>
          <w:lang w:eastAsia="ru-RU"/>
        </w:rPr>
        <w:object w:dxaOrig="31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pt;height:20pt" o:ole="">
            <v:imagedata r:id="rId6" o:title=""/>
          </v:shape>
          <o:OLEObject Type="Embed" ProgID="Equation.3" ShapeID="_x0000_i1025" DrawAspect="Content" ObjectID="_1503521965" r:id="rId7"/>
        </w:objec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где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80" w:dyaOrig="740">
          <v:shape id="_x0000_i1026" type="#_x0000_t75" style="width:59pt;height:37pt" o:ole="">
            <v:imagedata r:id="rId8" o:title=""/>
          </v:shape>
          <o:OLEObject Type="Embed" ProgID="Equation.3" ShapeID="_x0000_i1026" DrawAspect="Content" ObjectID="_1503521966" r:id="rId9"/>
        </w:objec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где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V</w:t>
      </w:r>
      <w:proofErr w:type="spellStart"/>
      <w:proofErr w:type="gramEnd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выр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объем проветриваемой выработки,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l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*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=300*15,2=4560 м3;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680" w:dyaOrig="700">
          <v:shape id="_x0000_i1027" type="#_x0000_t75" style="width:134pt;height:35pt" o:ole="">
            <v:imagedata r:id="rId10" o:title=""/>
          </v:shape>
          <o:OLEObject Type="Embed" ProgID="Equation.3" ShapeID="_x0000_i1027" DrawAspect="Content" ObjectID="_1503521967" r:id="rId11"/>
        </w:objec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=316 с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где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t</w:t>
      </w:r>
      <w:proofErr w:type="spellStart"/>
      <w:proofErr w:type="gramEnd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загр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– время загрузки ковша (кузова), 60 с;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t</w:t>
      </w:r>
      <w:proofErr w:type="spellStart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разгр</w:t>
      </w:r>
      <w:proofErr w:type="spellEnd"/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время разгрузки ковша (кузова), 20с;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t</w:t>
      </w:r>
      <w:proofErr w:type="spellStart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всп</w:t>
      </w:r>
      <w:proofErr w:type="spellEnd"/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время на вспомогательные операции, 20с;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l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длина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доставки (транспортировки) груза, 300м;</w:t>
      </w:r>
    </w:p>
    <w:p w:rsidR="007114B8" w:rsidRPr="007114B8" w:rsidRDefault="007114B8" w:rsidP="007114B8">
      <w:pPr>
        <w:widowControl w:val="0"/>
        <w:spacing w:after="0" w:line="240" w:lineRule="auto"/>
        <w:ind w:left="1500" w:hanging="79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v</w:t>
      </w:r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ср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средняя скорость движения машины, 10км/час = 10000/3600 = 2,78м/с.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Буровые машины «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Boom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r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281» и «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Simba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1257» с мощностью двигателя 80л.с. в соответствии с «Методическими указаниями по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технологическому проектированию горнодобывающих предприятий металлургии с подземным способом разработки (Приложение к ВНТП 13-2-93)» (п.3.13.3.), согласованными с Госгортехнадзором РФ (протокол №4 от 13.12.92г.) при определении расхода воздуха для проветривания выработок вспомогательные и буровые машины не учитываются.</w:t>
      </w:r>
    </w:p>
    <w:p w:rsidR="006D37F8" w:rsidRDefault="006D37F8">
      <w:bookmarkStart w:id="1" w:name="_GoBack"/>
      <w:bookmarkEnd w:id="1"/>
    </w:p>
    <w:sectPr w:rsidR="006D3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202B7B2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–"/>
        <w:legacy w:legacy="1" w:legacySpace="0" w:legacyIndent="357"/>
        <w:lvlJc w:val="left"/>
        <w:pPr>
          <w:ind w:left="1208" w:hanging="357"/>
        </w:pPr>
        <w:rPr>
          <w:rFonts w:ascii="Times New Roman" w:hAnsi="Times New Roman" w:hint="default"/>
          <w:sz w:val="2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4B8"/>
    <w:rsid w:val="006D37F8"/>
    <w:rsid w:val="0071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752</Words>
  <Characters>4292</Characters>
  <Application>Microsoft Office Word</Application>
  <DocSecurity>0</DocSecurity>
  <Lines>35</Lines>
  <Paragraphs>10</Paragraphs>
  <ScaleCrop>false</ScaleCrop>
  <Company>*</Company>
  <LinksUpToDate>false</LinksUpToDate>
  <CharactersWithSpaces>5034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2015-09-11T18:12:00Z</dcterms:created>
  <dcterms:modified xsi:type="dcterms:W3CDTF">2015-09-11T18:13:00Z</dcterms:modified>
</cp:coreProperties>
</file>